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3F3A" w:rsidRDefault="00F31BA5">
      <w:pPr>
        <w:spacing w:before="240" w:after="280" w:line="360" w:lineRule="auto"/>
        <w:jc w:val="right"/>
        <w:rPr>
          <w:rFonts w:ascii="Bookman Old Style" w:eastAsia="Bookman Old Style" w:hAnsi="Bookman Old Style" w:cs="Bookman Old Style"/>
          <w:sz w:val="24"/>
          <w:szCs w:val="24"/>
        </w:rPr>
      </w:pPr>
      <w:bookmarkStart w:id="0" w:name="_GoBack"/>
      <w:bookmarkEnd w:id="0"/>
      <w:r>
        <w:rPr>
          <w:rFonts w:ascii="Bookman Old Style" w:eastAsia="Bookman Old Style" w:hAnsi="Bookman Old Style" w:cs="Bookman Old Style"/>
          <w:sz w:val="24"/>
          <w:szCs w:val="24"/>
        </w:rPr>
        <w:t>Villa Carlos Paz, 2 de julio de 2025.-</w:t>
      </w:r>
    </w:p>
    <w:p w:rsidR="00293F3A" w:rsidRDefault="00F31BA5">
      <w:pPr>
        <w:spacing w:before="240" w:after="28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PROYECTO DE ORDENANZA</w:t>
      </w:r>
    </w:p>
    <w:p w:rsidR="00293F3A" w:rsidRDefault="00F31BA5">
      <w:pPr>
        <w:spacing w:before="280" w:after="280"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VISTO:</w:t>
      </w:r>
    </w:p>
    <w:p w:rsidR="00293F3A" w:rsidRDefault="00F31BA5">
      <w:pPr>
        <w:spacing w:before="280" w:after="28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Carta Orgánica Municipal, en especial lo normado en los artículos 230, ss. y cc.; relativos a la reforma de la Carta Magna de nuestra ciudad; y</w:t>
      </w:r>
    </w:p>
    <w:p w:rsidR="00293F3A" w:rsidRDefault="00F31BA5">
      <w:pPr>
        <w:spacing w:before="280" w:after="280"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CONSIDERANDO:</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la Carta Orgánica Municipal de la ciudad de Villa Carlos Paz ha sido sancionada en el mes de noviembre del año 2007, contando con una vigencia de más de diecisiete años sin que se haya llevado adelante su reforma, sea total o parcial (arts. 230 ss. y cc.)</w:t>
      </w:r>
      <w:r>
        <w:rPr>
          <w:rFonts w:ascii="Bookman Old Style" w:eastAsia="Bookman Old Style" w:hAnsi="Bookman Old Style" w:cs="Bookman Old Style"/>
          <w:sz w:val="24"/>
          <w:szCs w:val="24"/>
        </w:rPr>
        <w:t>, ni una reforma por enmienda (arts. 235, ss. y cc.).</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los constituyentes en oportunidad del tratamiento y dictado de nuestra Constitución Municipal, concibieron el instituto de la Defensoría del Pueblo como un organismo independiente que actúa con plen</w:t>
      </w:r>
      <w:r>
        <w:rPr>
          <w:rFonts w:ascii="Bookman Old Style" w:eastAsia="Bookman Old Style" w:hAnsi="Bookman Old Style" w:cs="Bookman Old Style"/>
          <w:sz w:val="24"/>
          <w:szCs w:val="24"/>
        </w:rPr>
        <w:t>a autonomía funcional, sin recibir instrucciones de otra autoridad (C.O.M. art. 171).</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su función esencial es la defensa y protección de los derechos, garantías e intereses tutelados en la Constitución Nacional, Constitución Provincial, la Carta Orgánic</w:t>
      </w:r>
      <w:r>
        <w:rPr>
          <w:rFonts w:ascii="Bookman Old Style" w:eastAsia="Bookman Old Style" w:hAnsi="Bookman Old Style" w:cs="Bookman Old Style"/>
          <w:sz w:val="24"/>
          <w:szCs w:val="24"/>
        </w:rPr>
        <w:t xml:space="preserve">a Municipal, leyes y ordenanzas, ante hechos, actos u omisiones de la </w:t>
      </w:r>
      <w:r>
        <w:rPr>
          <w:rFonts w:ascii="Bookman Old Style" w:eastAsia="Bookman Old Style" w:hAnsi="Bookman Old Style" w:cs="Bookman Old Style"/>
          <w:b/>
          <w:i/>
          <w:sz w:val="24"/>
          <w:szCs w:val="24"/>
          <w:u w:val="single"/>
        </w:rPr>
        <w:t>administración pública municipal</w:t>
      </w:r>
      <w:r>
        <w:rPr>
          <w:rFonts w:ascii="Bookman Old Style" w:eastAsia="Bookman Old Style" w:hAnsi="Bookman Old Style" w:cs="Bookman Old Style"/>
          <w:sz w:val="24"/>
          <w:szCs w:val="24"/>
        </w:rPr>
        <w:t>, debiendo supervisar la eficacia de la prestación de los servicios públicos y la aplicación de las ordenanzas y demás disposiciones (C.O.M. art. 171).</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w:t>
      </w:r>
      <w:r>
        <w:rPr>
          <w:rFonts w:ascii="Bookman Old Style" w:eastAsia="Bookman Old Style" w:hAnsi="Bookman Old Style" w:cs="Bookman Old Style"/>
          <w:b/>
          <w:sz w:val="24"/>
          <w:szCs w:val="24"/>
        </w:rPr>
        <w:t xml:space="preserve">e </w:t>
      </w:r>
      <w:r>
        <w:rPr>
          <w:rFonts w:ascii="Bookman Old Style" w:eastAsia="Bookman Old Style" w:hAnsi="Bookman Old Style" w:cs="Bookman Old Style"/>
          <w:sz w:val="24"/>
          <w:szCs w:val="24"/>
        </w:rPr>
        <w:t xml:space="preserve">la propia norma le asigna una gran amplitud de atribuciones, pudiendo destacarse la realización de investigaciones, pedidos de informes, instancia de mediación vecinal, contando con algo esencial como es la legitimación procesal y facultad de iniciativa </w:t>
      </w:r>
      <w:r>
        <w:rPr>
          <w:rFonts w:ascii="Bookman Old Style" w:eastAsia="Bookman Old Style" w:hAnsi="Bookman Old Style" w:cs="Bookman Old Style"/>
          <w:sz w:val="24"/>
          <w:szCs w:val="24"/>
        </w:rPr>
        <w:t>legislativa; y la facultad de interponer acción judicial en contra de actos o hechos que afecten intereses difusos y derechos colectivos de los habitantes del Municipio (C.O.M. Art. 179).</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la norma constituyente, en una definición poco común, estableció</w:t>
      </w:r>
      <w:r>
        <w:rPr>
          <w:rFonts w:ascii="Bookman Old Style" w:eastAsia="Bookman Old Style" w:hAnsi="Bookman Old Style" w:cs="Bookman Old Style"/>
          <w:sz w:val="24"/>
          <w:szCs w:val="24"/>
        </w:rPr>
        <w:t xml:space="preserve"> que la remuneración del Defensor del Pueblo es igual a la del Intendente y la de su Adjunto será determinada por la Ordenanza pertinente (C.O.M. Art. 176).</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en otra decisión inédita los constituyentes determinaron que tanto el Defensor del Pueblo como</w:t>
      </w:r>
      <w:r>
        <w:rPr>
          <w:rFonts w:ascii="Bookman Old Style" w:eastAsia="Bookman Old Style" w:hAnsi="Bookman Old Style" w:cs="Bookman Old Style"/>
          <w:sz w:val="24"/>
          <w:szCs w:val="24"/>
        </w:rPr>
        <w:t xml:space="preserve"> el Defensor del Pueblo Adjunto serían elegidos de manera directa por la ciudadanía a simple pluralidad de sufragios; con un mandato que </w:t>
      </w:r>
      <w:r>
        <w:rPr>
          <w:rFonts w:ascii="Bookman Old Style" w:eastAsia="Bookman Old Style" w:hAnsi="Bookman Old Style" w:cs="Bookman Old Style"/>
          <w:sz w:val="24"/>
          <w:szCs w:val="24"/>
        </w:rPr>
        <w:lastRenderedPageBreak/>
        <w:t xml:space="preserve">duraría cuatro (4) años y pudiendo ser </w:t>
      </w:r>
      <w:r>
        <w:rPr>
          <w:rFonts w:ascii="Bookman Old Style" w:eastAsia="Bookman Old Style" w:hAnsi="Bookman Old Style" w:cs="Bookman Old Style"/>
          <w:b/>
          <w:i/>
          <w:sz w:val="24"/>
          <w:szCs w:val="24"/>
          <w:u w:val="single"/>
        </w:rPr>
        <w:t>reelectos de manera indefinida</w:t>
      </w:r>
      <w:r>
        <w:rPr>
          <w:rFonts w:ascii="Bookman Old Style" w:eastAsia="Bookman Old Style" w:hAnsi="Bookman Old Style" w:cs="Bookman Old Style"/>
          <w:sz w:val="24"/>
          <w:szCs w:val="24"/>
        </w:rPr>
        <w:t xml:space="preserve"> (C.O.M. Art. 173).</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está determinación infrecu</w:t>
      </w:r>
      <w:r>
        <w:rPr>
          <w:rFonts w:ascii="Bookman Old Style" w:eastAsia="Bookman Old Style" w:hAnsi="Bookman Old Style" w:cs="Bookman Old Style"/>
          <w:sz w:val="24"/>
          <w:szCs w:val="24"/>
        </w:rPr>
        <w:t>ente del mecanismo de elección, sin la consecuente prohibición expresa de participación electoral tanto de la fuerza política gobernante, como de sus autoridades electas y sus funcionarios designados, abrió la puerta a situaciones qué desde la mirada de lo</w:t>
      </w:r>
      <w:r>
        <w:rPr>
          <w:rFonts w:ascii="Bookman Old Style" w:eastAsia="Bookman Old Style" w:hAnsi="Bookman Old Style" w:cs="Bookman Old Style"/>
          <w:sz w:val="24"/>
          <w:szCs w:val="24"/>
        </w:rPr>
        <w:t>s ciudadanos, sin ser ilegales por no hallarse prohibidas taxativamente, comenzaron a socavar y deslegitimar esta figura institucional.</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ello así por cuanto las obligaciones fundamentales del Defensor de Pueblo imponen la defensa, protección, garantía y</w:t>
      </w:r>
      <w:r>
        <w:rPr>
          <w:rFonts w:ascii="Bookman Old Style" w:eastAsia="Bookman Old Style" w:hAnsi="Bookman Old Style" w:cs="Bookman Old Style"/>
          <w:sz w:val="24"/>
          <w:szCs w:val="24"/>
        </w:rPr>
        <w:t xml:space="preserve"> promoción de los derechos de los habitantes del Municipio frente a hechos u omisiones de la administración pública municipal, y en este punto aparece como impropio el respaldo a un candidato cualquiera de parte de aquellas autoridades y funcionarios que l</w:t>
      </w:r>
      <w:r>
        <w:rPr>
          <w:rFonts w:ascii="Bookman Old Style" w:eastAsia="Bookman Old Style" w:hAnsi="Bookman Old Style" w:cs="Bookman Old Style"/>
          <w:sz w:val="24"/>
          <w:szCs w:val="24"/>
        </w:rPr>
        <w:t>uego deben ser controlados en el ejercicio de sus funciones por quien habría sido su propio candidato.</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lejos de cumplir el mandato que la ley fundamental local pretendió darle, la Defensoría del Pueblo en Villa Carlos Paz ha atravesado un proceso progr</w:t>
      </w:r>
      <w:r>
        <w:rPr>
          <w:rFonts w:ascii="Bookman Old Style" w:eastAsia="Bookman Old Style" w:hAnsi="Bookman Old Style" w:cs="Bookman Old Style"/>
          <w:sz w:val="24"/>
          <w:szCs w:val="24"/>
        </w:rPr>
        <w:t>esivo de pérdida de legitimidad, funcionalidad e independencia, tornándose en una institución estéril para la verdadera defensa del interés público y los derechos de los vecinos.</w:t>
      </w:r>
    </w:p>
    <w:p w:rsidR="00293F3A" w:rsidRDefault="00F31BA5">
      <w:pPr>
        <w:spacing w:before="280" w:after="280" w:line="360" w:lineRule="auto"/>
        <w:ind w:firstLine="20"/>
        <w:jc w:val="both"/>
        <w:rPr>
          <w:rFonts w:ascii="Bookman Old Style" w:eastAsia="Bookman Old Style" w:hAnsi="Bookman Old Style" w:cs="Bookman Old Style"/>
          <w:color w:val="222222"/>
          <w:sz w:val="24"/>
          <w:szCs w:val="24"/>
          <w:highlight w:val="white"/>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en este sentido, la </w:t>
      </w:r>
      <w:r>
        <w:rPr>
          <w:rFonts w:ascii="Bookman Old Style" w:eastAsia="Bookman Old Style" w:hAnsi="Bookman Old Style" w:cs="Bookman Old Style"/>
          <w:color w:val="222222"/>
          <w:sz w:val="24"/>
          <w:szCs w:val="24"/>
          <w:highlight w:val="white"/>
        </w:rPr>
        <w:t>participación electoral desde el año 2013 en la elecc</w:t>
      </w:r>
      <w:r>
        <w:rPr>
          <w:rFonts w:ascii="Bookman Old Style" w:eastAsia="Bookman Old Style" w:hAnsi="Bookman Old Style" w:cs="Bookman Old Style"/>
          <w:color w:val="222222"/>
          <w:sz w:val="24"/>
          <w:szCs w:val="24"/>
          <w:highlight w:val="white"/>
        </w:rPr>
        <w:t>ión de estas autoridades, viene mostrando una caída significativa. En 2013 votó el 47% de los electores, en 2017 lo hizo el 36% de los electores, en 2021 votó el 25% de los electores, y este 29 de junio de 2025, participó y votó tan solo el 17% de los ciud</w:t>
      </w:r>
      <w:r>
        <w:rPr>
          <w:rFonts w:ascii="Bookman Old Style" w:eastAsia="Bookman Old Style" w:hAnsi="Bookman Old Style" w:cs="Bookman Old Style"/>
          <w:color w:val="222222"/>
          <w:sz w:val="24"/>
          <w:szCs w:val="24"/>
          <w:highlight w:val="white"/>
        </w:rPr>
        <w:t>adanos habilitados a sufragar.</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222222"/>
          <w:sz w:val="24"/>
          <w:szCs w:val="24"/>
          <w:highlight w:val="white"/>
        </w:rPr>
        <w:t>Que</w:t>
      </w:r>
      <w:r>
        <w:rPr>
          <w:rFonts w:ascii="Bookman Old Style" w:eastAsia="Bookman Old Style" w:hAnsi="Bookman Old Style" w:cs="Bookman Old Style"/>
          <w:color w:val="222222"/>
          <w:sz w:val="24"/>
          <w:szCs w:val="24"/>
          <w:highlight w:val="white"/>
        </w:rPr>
        <w:t xml:space="preserve"> los números marcan con indudable certeza el </w:t>
      </w:r>
      <w:r>
        <w:rPr>
          <w:rFonts w:ascii="Bookman Old Style" w:eastAsia="Bookman Old Style" w:hAnsi="Bookman Old Style" w:cs="Bookman Old Style"/>
          <w:sz w:val="24"/>
          <w:szCs w:val="24"/>
        </w:rPr>
        <w:t>progresivo y sostenido descrédito de la Defensoría del Pueblo, y obligan a quienes tenemos responsabilidades de gobierno a interpretar la sostenida e inequívoca interpelación que hacen los vecinos. Nadie puede hacerse el distraído y mirar para otro lado. N</w:t>
      </w:r>
      <w:r>
        <w:rPr>
          <w:rFonts w:ascii="Bookman Old Style" w:eastAsia="Bookman Old Style" w:hAnsi="Bookman Old Style" w:cs="Bookman Old Style"/>
          <w:sz w:val="24"/>
          <w:szCs w:val="24"/>
        </w:rPr>
        <w:t>o esta vez.</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la Defensoría del Pueblo se ha transformado en una estructura costosa, ineficaz y totalmente improductiva para la defensa de los derechos y garantías de los ciudadanos carlospacenses, y la ciudadanía con gestos de resistencia democrática ha</w:t>
      </w:r>
      <w:r>
        <w:rPr>
          <w:rFonts w:ascii="Bookman Old Style" w:eastAsia="Bookman Old Style" w:hAnsi="Bookman Old Style" w:cs="Bookman Old Style"/>
          <w:sz w:val="24"/>
          <w:szCs w:val="24"/>
        </w:rPr>
        <w:t xml:space="preserve"> marcado que ya no tiene razón de existir.</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Que</w:t>
      </w:r>
      <w:r>
        <w:rPr>
          <w:rFonts w:ascii="Bookman Old Style" w:eastAsia="Bookman Old Style" w:hAnsi="Bookman Old Style" w:cs="Bookman Old Style"/>
          <w:sz w:val="24"/>
          <w:szCs w:val="24"/>
        </w:rPr>
        <w:t xml:space="preserve"> tanto el ejercicio de las funciones por parte del Defensor del Pueblo y Defensor del Pueblo Adjunto, como el proceso de selección se encuentran totalmente deslegitimados frente a una sociedad que encontró en l</w:t>
      </w:r>
      <w:r>
        <w:rPr>
          <w:rFonts w:ascii="Bookman Old Style" w:eastAsia="Bookman Old Style" w:hAnsi="Bookman Old Style" w:cs="Bookman Old Style"/>
          <w:sz w:val="24"/>
          <w:szCs w:val="24"/>
        </w:rPr>
        <w:t>a “no participación” del acto democrático de la elección, una herramienta para expresarse de manera contundente.</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la decisión categórica del 83% de los vecinos de </w:t>
      </w:r>
      <w:r>
        <w:rPr>
          <w:rFonts w:ascii="Bookman Old Style" w:eastAsia="Bookman Old Style" w:hAnsi="Bookman Old Style" w:cs="Bookman Old Style"/>
          <w:b/>
          <w:i/>
          <w:sz w:val="24"/>
          <w:szCs w:val="24"/>
          <w:u w:val="single"/>
        </w:rPr>
        <w:t>NO IR A VOTAR</w:t>
      </w:r>
      <w:r>
        <w:rPr>
          <w:rFonts w:ascii="Bookman Old Style" w:eastAsia="Bookman Old Style" w:hAnsi="Bookman Old Style" w:cs="Bookman Old Style"/>
          <w:sz w:val="24"/>
          <w:szCs w:val="24"/>
        </w:rPr>
        <w:t>, expone de manera concluyente el sentir de la sociedad, y obliga a una refle</w:t>
      </w:r>
      <w:r>
        <w:rPr>
          <w:rFonts w:ascii="Bookman Old Style" w:eastAsia="Bookman Old Style" w:hAnsi="Bookman Old Style" w:cs="Bookman Old Style"/>
          <w:sz w:val="24"/>
          <w:szCs w:val="24"/>
        </w:rPr>
        <w:t>xión institucional profunda. Nadie puede hacerse el desentendido y seguir avalando estructuras decorativas, sin autonomía y que desde la mirada social solo parecen defender beneficios e intereses de unos pocos.</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Qué</w:t>
      </w:r>
      <w:r>
        <w:rPr>
          <w:rFonts w:ascii="Bookman Old Style" w:eastAsia="Bookman Old Style" w:hAnsi="Bookman Old Style" w:cs="Bookman Old Style"/>
          <w:sz w:val="24"/>
          <w:szCs w:val="24"/>
        </w:rPr>
        <w:t xml:space="preserve"> frente a la fulminante demostración del s</w:t>
      </w:r>
      <w:r>
        <w:rPr>
          <w:rFonts w:ascii="Bookman Old Style" w:eastAsia="Bookman Old Style" w:hAnsi="Bookman Old Style" w:cs="Bookman Old Style"/>
          <w:sz w:val="24"/>
          <w:szCs w:val="24"/>
        </w:rPr>
        <w:t>oberano el pasado 29 de junio, ya ni siquiera creemos posible discutir si la solución es modificar el mecanismo de selección, girando hacia propuestas de las minorías del Concejo de Representantes.</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Qué</w:t>
      </w:r>
      <w:r>
        <w:rPr>
          <w:rFonts w:ascii="Bookman Old Style" w:eastAsia="Bookman Old Style" w:hAnsi="Bookman Old Style" w:cs="Bookman Old Style"/>
          <w:sz w:val="24"/>
          <w:szCs w:val="24"/>
        </w:rPr>
        <w:t xml:space="preserve"> en este sentido para la comunidad carlospacense la Def</w:t>
      </w:r>
      <w:r>
        <w:rPr>
          <w:rFonts w:ascii="Bookman Old Style" w:eastAsia="Bookman Old Style" w:hAnsi="Bookman Old Style" w:cs="Bookman Old Style"/>
          <w:sz w:val="24"/>
          <w:szCs w:val="24"/>
        </w:rPr>
        <w:t>ensoría del Pueblo es hoy una institución vacía, cuya continuidad sólo puede ser una ficción para quienes no comprendan la realidad que ha marcado la ciudadanía.</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las autoridades y dirigentes políticos debemos interpretar y canalizar institucionalmente </w:t>
      </w:r>
      <w:r>
        <w:rPr>
          <w:rFonts w:ascii="Bookman Old Style" w:eastAsia="Bookman Old Style" w:hAnsi="Bookman Old Style" w:cs="Bookman Old Style"/>
          <w:sz w:val="24"/>
          <w:szCs w:val="24"/>
        </w:rPr>
        <w:t>el mensaje que dieron los vecinos, y actuar con responsabilidad y coherencia.</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en consecuencia, se impone declarar la necesidad de una reforma parcial de la Carta Orgánica, conforme lo establece el artículo 236 ss. y cc., y convocar a una Convención Con</w:t>
      </w:r>
      <w:r>
        <w:rPr>
          <w:rFonts w:ascii="Bookman Old Style" w:eastAsia="Bookman Old Style" w:hAnsi="Bookman Old Style" w:cs="Bookman Old Style"/>
          <w:sz w:val="24"/>
          <w:szCs w:val="24"/>
        </w:rPr>
        <w:t xml:space="preserve">stituyente que tenga por </w:t>
      </w:r>
      <w:r>
        <w:rPr>
          <w:rFonts w:ascii="Bookman Old Style" w:eastAsia="Bookman Old Style" w:hAnsi="Bookman Old Style" w:cs="Bookman Old Style"/>
          <w:b/>
          <w:i/>
          <w:sz w:val="24"/>
          <w:szCs w:val="24"/>
          <w:u w:val="single"/>
        </w:rPr>
        <w:t>único objeto la eliminación total del Capítulo III “Defensoría del Pueblo” del Título Segundo de la Segunda Parte, artículos 171 a 181 inclusive</w:t>
      </w:r>
      <w:r>
        <w:rPr>
          <w:rFonts w:ascii="Bookman Old Style" w:eastAsia="Bookman Old Style" w:hAnsi="Bookman Old Style" w:cs="Bookman Old Style"/>
          <w:sz w:val="24"/>
          <w:szCs w:val="24"/>
        </w:rPr>
        <w:t>.</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Que el mecanismo de Reforma por Enmienda previsto en el artículo 235 ss. y cc. de la C.O.M., no resulta de aplicación en esta oportunidad, por cuanto solo puede recurrirse al mismo para modificar hasta dos artículos en cada proceso de enmienda, no siendo c</w:t>
      </w:r>
      <w:r>
        <w:rPr>
          <w:rFonts w:ascii="Bookman Old Style" w:eastAsia="Bookman Old Style" w:hAnsi="Bookman Old Style" w:cs="Bookman Old Style"/>
          <w:sz w:val="24"/>
          <w:szCs w:val="24"/>
        </w:rPr>
        <w:t>ompetente para la propuesta que nos ocupa en el presente proyecto.</w:t>
      </w:r>
    </w:p>
    <w:p w:rsidR="00293F3A" w:rsidRDefault="00F31BA5">
      <w:pPr>
        <w:spacing w:before="280" w:after="280" w:line="360" w:lineRule="auto"/>
        <w:ind w:firstLine="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Que</w:t>
      </w:r>
      <w:r>
        <w:rPr>
          <w:rFonts w:ascii="Bookman Old Style" w:eastAsia="Bookman Old Style" w:hAnsi="Bookman Old Style" w:cs="Bookman Old Style"/>
          <w:sz w:val="24"/>
          <w:szCs w:val="24"/>
        </w:rPr>
        <w:t xml:space="preserve"> esta decisión no implica un retroceso institucional, sino un acto de coherencia democrática que propicia una revisión puntual y adecuación de nuestra norma madre, frente a este organism</w:t>
      </w:r>
      <w:r>
        <w:rPr>
          <w:rFonts w:ascii="Bookman Old Style" w:eastAsia="Bookman Old Style" w:hAnsi="Bookman Old Style" w:cs="Bookman Old Style"/>
          <w:sz w:val="24"/>
          <w:szCs w:val="24"/>
        </w:rPr>
        <w:t>o de raigambre escandinava, que luego de tres mandatos constitucionales, no ha logrado encontrar su sentido de pertenencia en nuestra ciudad.</w:t>
      </w:r>
    </w:p>
    <w:p w:rsidR="00293F3A" w:rsidRDefault="00F31BA5">
      <w:pPr>
        <w:spacing w:before="240" w:after="240"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Por todo lo expuesto el Concejal </w:t>
      </w:r>
      <w:r>
        <w:rPr>
          <w:rFonts w:ascii="Bookman Old Style" w:eastAsia="Bookman Old Style" w:hAnsi="Bookman Old Style" w:cs="Bookman Old Style"/>
          <w:b/>
          <w:sz w:val="24"/>
          <w:szCs w:val="24"/>
        </w:rPr>
        <w:t>Carlos Quaranta</w:t>
      </w:r>
      <w:r>
        <w:rPr>
          <w:rFonts w:ascii="Bookman Old Style" w:eastAsia="Bookman Old Style" w:hAnsi="Bookman Old Style" w:cs="Bookman Old Style"/>
          <w:sz w:val="24"/>
          <w:szCs w:val="24"/>
        </w:rPr>
        <w:t xml:space="preserve"> del Bloque </w:t>
      </w:r>
      <w:r>
        <w:rPr>
          <w:rFonts w:ascii="Bookman Old Style" w:eastAsia="Bookman Old Style" w:hAnsi="Bookman Old Style" w:cs="Bookman Old Style"/>
          <w:b/>
          <w:sz w:val="24"/>
          <w:szCs w:val="24"/>
        </w:rPr>
        <w:t>Carlos Paz Inteligente,</w:t>
      </w:r>
      <w:r>
        <w:rPr>
          <w:rFonts w:ascii="Bookman Old Style" w:eastAsia="Bookman Old Style" w:hAnsi="Bookman Old Style" w:cs="Bookman Old Style"/>
          <w:sz w:val="24"/>
          <w:szCs w:val="24"/>
        </w:rPr>
        <w:t xml:space="preserve"> propone la </w:t>
      </w:r>
      <w:r>
        <w:rPr>
          <w:rFonts w:ascii="Bookman Old Style" w:eastAsia="Bookman Old Style" w:hAnsi="Bookman Old Style" w:cs="Bookman Old Style"/>
          <w:b/>
          <w:sz w:val="24"/>
          <w:szCs w:val="24"/>
        </w:rPr>
        <w:t>Aprobación</w:t>
      </w:r>
      <w:r>
        <w:rPr>
          <w:rFonts w:ascii="Bookman Old Style" w:eastAsia="Bookman Old Style" w:hAnsi="Bookman Old Style" w:cs="Bookman Old Style"/>
          <w:sz w:val="24"/>
          <w:szCs w:val="24"/>
        </w:rPr>
        <w:t xml:space="preserve"> del sigu</w:t>
      </w:r>
      <w:r>
        <w:rPr>
          <w:rFonts w:ascii="Bookman Old Style" w:eastAsia="Bookman Old Style" w:hAnsi="Bookman Old Style" w:cs="Bookman Old Style"/>
          <w:sz w:val="24"/>
          <w:szCs w:val="24"/>
        </w:rPr>
        <w:t xml:space="preserve">iente </w:t>
      </w:r>
      <w:r>
        <w:rPr>
          <w:rFonts w:ascii="Bookman Old Style" w:eastAsia="Bookman Old Style" w:hAnsi="Bookman Old Style" w:cs="Bookman Old Style"/>
          <w:b/>
          <w:sz w:val="24"/>
          <w:szCs w:val="24"/>
        </w:rPr>
        <w:t>Proyecto de Ordenanza:</w:t>
      </w:r>
    </w:p>
    <w:p w:rsidR="00293F3A" w:rsidRDefault="00F31BA5">
      <w:pPr>
        <w:spacing w:before="120" w:after="24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rsidR="00293F3A" w:rsidRDefault="00F31BA5">
      <w:pPr>
        <w:spacing w:before="120" w:after="24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EL CONCEJO DE REPRESENTANTES DEL MUNICIPIO DE VILLA CARLOS PAZ</w:t>
      </w:r>
    </w:p>
    <w:p w:rsidR="00293F3A" w:rsidRDefault="00F31BA5">
      <w:pPr>
        <w:spacing w:before="120" w:after="24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SANCIONA CON FUERZA DE</w:t>
      </w:r>
    </w:p>
    <w:p w:rsidR="00293F3A" w:rsidRDefault="00F31BA5">
      <w:pPr>
        <w:spacing w:before="120" w:after="24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ORDENANZA</w:t>
      </w:r>
    </w:p>
    <w:p w:rsidR="00293F3A" w:rsidRDefault="00F31BA5">
      <w:pPr>
        <w:spacing w:before="120" w:after="24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rsidR="00293F3A" w:rsidRDefault="00F31BA5">
      <w:pPr>
        <w:spacing w:before="120" w:after="24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ARTÍCULO 1º.- DECLÁRASE </w:t>
      </w:r>
      <w:r>
        <w:rPr>
          <w:rFonts w:ascii="Bookman Old Style" w:eastAsia="Bookman Old Style" w:hAnsi="Bookman Old Style" w:cs="Bookman Old Style"/>
          <w:sz w:val="24"/>
          <w:szCs w:val="24"/>
        </w:rPr>
        <w:t>la necesidad de la reforma de la Carta Orgánica Municipal de nuestra ciudad en los términos del artículo 235 ss. y cc.</w:t>
      </w:r>
    </w:p>
    <w:p w:rsidR="00293F3A" w:rsidRDefault="00F31BA5">
      <w:pPr>
        <w:spacing w:before="120" w:after="24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ARTÍCULO 2º.- DETERMINASE </w:t>
      </w:r>
      <w:r>
        <w:rPr>
          <w:rFonts w:ascii="Bookman Old Style" w:eastAsia="Bookman Old Style" w:hAnsi="Bookman Old Style" w:cs="Bookman Old Style"/>
          <w:sz w:val="24"/>
          <w:szCs w:val="24"/>
        </w:rPr>
        <w:t>que la reforma será parcial, y se limitará exclusivamente a la supresión del Capítulo III “Defensoría del Puebl</w:t>
      </w:r>
      <w:r>
        <w:rPr>
          <w:rFonts w:ascii="Bookman Old Style" w:eastAsia="Bookman Old Style" w:hAnsi="Bookman Old Style" w:cs="Bookman Old Style"/>
          <w:sz w:val="24"/>
          <w:szCs w:val="24"/>
        </w:rPr>
        <w:t>o” -artículos 171 a 181 inclusive-, del Título Segundo, de la Segunda Parte de la Carta Orgánica Municipal.</w:t>
      </w:r>
    </w:p>
    <w:p w:rsidR="00293F3A" w:rsidRDefault="00F31BA5">
      <w:pPr>
        <w:spacing w:before="280" w:after="28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3º.- DISPÓNESE</w:t>
      </w:r>
      <w:r>
        <w:rPr>
          <w:rFonts w:ascii="Bookman Old Style" w:eastAsia="Bookman Old Style" w:hAnsi="Bookman Old Style" w:cs="Bookman Old Style"/>
          <w:sz w:val="24"/>
          <w:szCs w:val="24"/>
        </w:rPr>
        <w:t xml:space="preserve"> que promulgada la presente ordenanza el Intendente convocará a elecciones de Convencionales Constituyentes Municipales, debi</w:t>
      </w:r>
      <w:r>
        <w:rPr>
          <w:rFonts w:ascii="Bookman Old Style" w:eastAsia="Bookman Old Style" w:hAnsi="Bookman Old Style" w:cs="Bookman Old Style"/>
          <w:sz w:val="24"/>
          <w:szCs w:val="24"/>
        </w:rPr>
        <w:t>endo especificarse en dicha convocatoria lo siguiente: a) que la reforma es parcial y a los fines establecidos en artículo 2° de la presente; b) la fecha del acto electoral, el que deberá tener lugar dentro de los sesenta (60) días posteriores a la promulg</w:t>
      </w:r>
      <w:r>
        <w:rPr>
          <w:rFonts w:ascii="Bookman Old Style" w:eastAsia="Bookman Old Style" w:hAnsi="Bookman Old Style" w:cs="Bookman Old Style"/>
          <w:sz w:val="24"/>
          <w:szCs w:val="24"/>
        </w:rPr>
        <w:t>ación de la presente ordenanza; c) la determinación de la partida presupuestaria para los gastos de funcionamiento de la Convención; d) que el plazo en el que deberá expedirse la Convención no podrá ser superior a los treinta (30) días corridos.</w:t>
      </w:r>
    </w:p>
    <w:p w:rsidR="00293F3A" w:rsidRDefault="00F31BA5">
      <w:pPr>
        <w:spacing w:before="280" w:after="28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w:t>
      </w:r>
      <w:r>
        <w:rPr>
          <w:rFonts w:ascii="Bookman Old Style" w:eastAsia="Bookman Old Style" w:hAnsi="Bookman Old Style" w:cs="Bookman Old Style"/>
          <w:b/>
          <w:sz w:val="24"/>
          <w:szCs w:val="24"/>
        </w:rPr>
        <w:t xml:space="preserve">º.- DETERMINASE </w:t>
      </w:r>
      <w:r>
        <w:rPr>
          <w:rFonts w:ascii="Bookman Old Style" w:eastAsia="Bookman Old Style" w:hAnsi="Bookman Old Style" w:cs="Bookman Old Style"/>
          <w:sz w:val="24"/>
          <w:szCs w:val="24"/>
        </w:rPr>
        <w:t>que la Convención Municipal para la reforma parcial prevista en la presente norma se compondrá de veinticuatro (24) miembros conforme lo establece el artículo 232 de la C.O.M.</w:t>
      </w:r>
    </w:p>
    <w:p w:rsidR="00293F3A" w:rsidRDefault="00F31BA5">
      <w:pPr>
        <w:spacing w:before="280" w:after="28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ARTÍCULO 5º.- DISPOSICIONES ELECTORALES. </w:t>
      </w:r>
      <w:r>
        <w:rPr>
          <w:rFonts w:ascii="Bookman Old Style" w:eastAsia="Bookman Old Style" w:hAnsi="Bookman Old Style" w:cs="Bookman Old Style"/>
          <w:sz w:val="24"/>
          <w:szCs w:val="24"/>
        </w:rPr>
        <w:t xml:space="preserve">Los partidos políticos </w:t>
      </w:r>
      <w:r>
        <w:rPr>
          <w:rFonts w:ascii="Bookman Old Style" w:eastAsia="Bookman Old Style" w:hAnsi="Bookman Old Style" w:cs="Bookman Old Style"/>
          <w:sz w:val="24"/>
          <w:szCs w:val="24"/>
        </w:rPr>
        <w:t xml:space="preserve">que participen del acto electoral, deberán presentar una lista de candidatos titulares igual al número total de convencionales a elegir, y un número de suplentes igual a la mitad del número total. La incorporación de convencionales a la Convención se hará </w:t>
      </w:r>
      <w:r>
        <w:rPr>
          <w:rFonts w:ascii="Bookman Old Style" w:eastAsia="Bookman Old Style" w:hAnsi="Bookman Old Style" w:cs="Bookman Old Style"/>
          <w:sz w:val="24"/>
          <w:szCs w:val="24"/>
        </w:rPr>
        <w:t>por el sistema D'Hondt, con todas las listas que hubieren obtenido un mínimo del dos (2) por ciento del total de votos emitidos. Para ser Convencional municipal rigen los mismos requisitos, inhabilidades e incompatibilidades establecidas en la Carta Orgáni</w:t>
      </w:r>
      <w:r>
        <w:rPr>
          <w:rFonts w:ascii="Bookman Old Style" w:eastAsia="Bookman Old Style" w:hAnsi="Bookman Old Style" w:cs="Bookman Old Style"/>
          <w:sz w:val="24"/>
          <w:szCs w:val="24"/>
        </w:rPr>
        <w:t>ca para ser Concejal.</w:t>
      </w:r>
    </w:p>
    <w:p w:rsidR="00293F3A" w:rsidRDefault="00F31BA5">
      <w:pPr>
        <w:spacing w:before="280" w:after="28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ARTÍCULO 6º.- FACÚLTASE </w:t>
      </w:r>
      <w:r>
        <w:rPr>
          <w:rFonts w:ascii="Bookman Old Style" w:eastAsia="Bookman Old Style" w:hAnsi="Bookman Old Style" w:cs="Bookman Old Style"/>
          <w:sz w:val="24"/>
          <w:szCs w:val="24"/>
        </w:rPr>
        <w:t>al Departamento Ejecutivo Municipal a realizar todas las acciones que crea necesarias a los fines de concretar la convocatoria a elecciones de los convencionales constituyentes, como así también la constitución</w:t>
      </w:r>
      <w:r>
        <w:rPr>
          <w:rFonts w:ascii="Bookman Old Style" w:eastAsia="Bookman Old Style" w:hAnsi="Bookman Old Style" w:cs="Bookman Old Style"/>
          <w:sz w:val="24"/>
          <w:szCs w:val="24"/>
        </w:rPr>
        <w:t xml:space="preserve"> y el funcionamiento de la Convención Constituyente Municipal en los términos de la presente ordenanza.</w:t>
      </w:r>
    </w:p>
    <w:p w:rsidR="00293F3A" w:rsidRDefault="00F31BA5">
      <w:pPr>
        <w:spacing w:before="280" w:after="240"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ARTÍCULO 7º.- DE FORMA</w:t>
      </w:r>
    </w:p>
    <w:p w:rsidR="00293F3A" w:rsidRDefault="00293F3A">
      <w:pPr>
        <w:spacing w:after="200" w:line="360" w:lineRule="auto"/>
        <w:ind w:right="148"/>
        <w:jc w:val="both"/>
        <w:rPr>
          <w:rFonts w:ascii="Bookman Old Style" w:eastAsia="Bookman Old Style" w:hAnsi="Bookman Old Style" w:cs="Bookman Old Style"/>
          <w:b/>
          <w:sz w:val="24"/>
          <w:szCs w:val="24"/>
        </w:rPr>
      </w:pPr>
    </w:p>
    <w:p w:rsidR="00293F3A" w:rsidRDefault="00293F3A"/>
    <w:sectPr w:rsidR="00293F3A">
      <w:headerReference w:type="default" r:id="rId7"/>
      <w:pgSz w:w="12240" w:h="20160"/>
      <w:pgMar w:top="1133" w:right="907" w:bottom="1417"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BA5" w:rsidRDefault="00F31BA5">
      <w:pPr>
        <w:spacing w:line="240" w:lineRule="auto"/>
      </w:pPr>
      <w:r>
        <w:separator/>
      </w:r>
    </w:p>
  </w:endnote>
  <w:endnote w:type="continuationSeparator" w:id="0">
    <w:p w:rsidR="00F31BA5" w:rsidRDefault="00F31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auto"/>
    <w:pitch w:val="default"/>
  </w:font>
  <w:font w:name="Times New Roman">
    <w:panose1 w:val="02020603050405020304"/>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BA5" w:rsidRDefault="00F31BA5">
      <w:pPr>
        <w:spacing w:line="240" w:lineRule="auto"/>
      </w:pPr>
      <w:r>
        <w:separator/>
      </w:r>
    </w:p>
  </w:footnote>
  <w:footnote w:type="continuationSeparator" w:id="0">
    <w:p w:rsidR="00F31BA5" w:rsidRDefault="00F31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F3A" w:rsidRDefault="00F31BA5">
    <w:pPr>
      <w:tabs>
        <w:tab w:val="center" w:pos="4252"/>
        <w:tab w:val="right" w:pos="8504"/>
      </w:tab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612400" cy="838200"/>
          <wp:effectExtent l="0" t="0" r="0" b="0"/>
          <wp:docPr id="2" name="image1.png" descr="https://lh5.googleusercontent.com/qsfe9gvfUNP_YJXYAkBtxwdPa6udIgBLPzKcmVZVVaTia53P9Ljupai57CzhhNjkVpDFmYEQsGQZt-jje2jftBoxu4372pSLIsA1LXR_GNTBiiIX_nKGKZ2Mt6ZsdQt0DmhTsDL1NRUEjyVWqqtnv405sqfkKrHkeKPOSVxWqmc_jC7MM4jG5WVb-4GTxtRW_KB8LJih"/>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qsfe9gvfUNP_YJXYAkBtxwdPa6udIgBLPzKcmVZVVaTia53P9Ljupai57CzhhNjkVpDFmYEQsGQZt-jje2jftBoxu4372pSLIsA1LXR_GNTBiiIX_nKGKZ2Mt6ZsdQt0DmhTsDL1NRUEjyVWqqtnv405sqfkKrHkeKPOSVxWqmc_jC7MM4jG5WVb-4GTxtRW_KB8LJih"/>
                  <pic:cNvPicPr preferRelativeResize="0"/>
                </pic:nvPicPr>
                <pic:blipFill>
                  <a:blip r:embed="rId1"/>
                  <a:srcRect/>
                  <a:stretch>
                    <a:fillRect/>
                  </a:stretch>
                </pic:blipFill>
                <pic:spPr>
                  <a:xfrm>
                    <a:off x="0" y="0"/>
                    <a:ext cx="5612400" cy="838200"/>
                  </a:xfrm>
                  <a:prstGeom prst="rect">
                    <a:avLst/>
                  </a:prstGeom>
                  <a:ln/>
                </pic:spPr>
              </pic:pic>
            </a:graphicData>
          </a:graphic>
        </wp:inline>
      </w:drawing>
    </w:r>
  </w:p>
  <w:p w:rsidR="00293F3A" w:rsidRDefault="00293F3A">
    <w:pPr>
      <w:tabs>
        <w:tab w:val="center" w:pos="4252"/>
        <w:tab w:val="right" w:pos="8504"/>
      </w:tabs>
      <w:spacing w:line="240" w:lineRule="auto"/>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3A"/>
    <w:rsid w:val="00293F3A"/>
    <w:rsid w:val="00EA004B"/>
    <w:rsid w:val="00F3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6C09D-2F99-4B9D-BCC1-72C020F5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SRkitKaykngQ97H+5RFetjJWw==">CgMxLjA4AHIhMW1UMXpLUl94TFRIWmRrTmc2Tk93U1liRS11aFdIT09C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2025-07-02T14:05:00Z</dcterms:created>
  <dcterms:modified xsi:type="dcterms:W3CDTF">2025-07-02T14:05:00Z</dcterms:modified>
</cp:coreProperties>
</file>